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p>
    <w:p w:rsidR="00563BCE" w:rsidRDefault="00563BCE" w:rsidP="00563BCE">
      <w:pPr>
        <w:spacing w:line="480" w:lineRule="auto"/>
        <w:jc w:val="center"/>
        <w:rPr>
          <w:rFonts w:ascii="Times New Roman" w:hAnsi="Times New Roman" w:cs="Times New Roman"/>
          <w:sz w:val="24"/>
          <w:szCs w:val="24"/>
        </w:rPr>
      </w:pPr>
      <w:r w:rsidRPr="00563BCE">
        <w:rPr>
          <w:rFonts w:ascii="Times New Roman" w:hAnsi="Times New Roman" w:cs="Times New Roman"/>
          <w:sz w:val="24"/>
          <w:szCs w:val="24"/>
        </w:rPr>
        <w:t>Healthcare and Federal Laws</w:t>
      </w:r>
    </w:p>
    <w:p w:rsidR="00563BCE" w:rsidRDefault="00563BCE" w:rsidP="00563B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3BCE" w:rsidRDefault="00563BCE" w:rsidP="00563B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63BCE" w:rsidRDefault="00563BCE" w:rsidP="00563B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3BCE" w:rsidRDefault="00563BCE">
      <w:pPr>
        <w:rPr>
          <w:rFonts w:ascii="Times New Roman" w:hAnsi="Times New Roman" w:cs="Times New Roman"/>
          <w:sz w:val="24"/>
          <w:szCs w:val="24"/>
        </w:rPr>
      </w:pPr>
      <w:r>
        <w:rPr>
          <w:rFonts w:ascii="Times New Roman" w:hAnsi="Times New Roman" w:cs="Times New Roman"/>
          <w:sz w:val="24"/>
          <w:szCs w:val="24"/>
        </w:rPr>
        <w:br w:type="page"/>
      </w:r>
    </w:p>
    <w:p w:rsidR="00563BCE" w:rsidRDefault="00563BCE" w:rsidP="00563B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and Federal Laws</w:t>
      </w:r>
    </w:p>
    <w:p w:rsidR="00D44808" w:rsidRPr="00563BCE" w:rsidRDefault="00D44808" w:rsidP="00563BCE">
      <w:pPr>
        <w:spacing w:line="480" w:lineRule="auto"/>
        <w:jc w:val="center"/>
        <w:rPr>
          <w:rFonts w:ascii="Times New Roman" w:hAnsi="Times New Roman" w:cs="Times New Roman"/>
          <w:b/>
          <w:sz w:val="24"/>
          <w:szCs w:val="24"/>
        </w:rPr>
      </w:pPr>
      <w:r w:rsidRPr="00563BCE">
        <w:rPr>
          <w:rFonts w:ascii="Times New Roman" w:hAnsi="Times New Roman" w:cs="Times New Roman"/>
          <w:b/>
          <w:sz w:val="24"/>
          <w:szCs w:val="24"/>
        </w:rPr>
        <w:t>Question 1</w:t>
      </w:r>
    </w:p>
    <w:p w:rsidR="006051B0" w:rsidRPr="00563BCE" w:rsidRDefault="006051B0" w:rsidP="00563BCE">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The Federal Trade Commission Act was launched in 1915 as a response after the public aired grievances following the ruling of the Supreme Court against Standard Oil and American Tobacco in 1911</w:t>
      </w:r>
      <w:r w:rsidR="009243EA" w:rsidRPr="00563BCE">
        <w:rPr>
          <w:rFonts w:ascii="Times New Roman" w:hAnsi="Times New Roman" w:cs="Times New Roman"/>
          <w:sz w:val="24"/>
          <w:szCs w:val="24"/>
        </w:rPr>
        <w:t xml:space="preserve"> (Showalter, 2012)</w:t>
      </w:r>
      <w:r w:rsidRPr="00563BCE">
        <w:rPr>
          <w:rFonts w:ascii="Times New Roman" w:hAnsi="Times New Roman" w:cs="Times New Roman"/>
          <w:sz w:val="24"/>
          <w:szCs w:val="24"/>
        </w:rPr>
        <w:t>. In these times, businesses in America benefited from the accumulation of profits since monopolistic companies received abnormal profits. The Act was implemented to control unfair methods of competition as well a</w:t>
      </w:r>
      <w:r w:rsidR="00563BCE">
        <w:rPr>
          <w:rFonts w:ascii="Times New Roman" w:hAnsi="Times New Roman" w:cs="Times New Roman"/>
          <w:sz w:val="24"/>
          <w:szCs w:val="24"/>
        </w:rPr>
        <w:t>s deceptive practices that</w:t>
      </w:r>
      <w:r w:rsidRPr="00563BCE">
        <w:rPr>
          <w:rFonts w:ascii="Times New Roman" w:hAnsi="Times New Roman" w:cs="Times New Roman"/>
          <w:sz w:val="24"/>
          <w:szCs w:val="24"/>
        </w:rPr>
        <w:t xml:space="preserve"> affect</w:t>
      </w:r>
      <w:r w:rsidR="00563BCE">
        <w:rPr>
          <w:rFonts w:ascii="Times New Roman" w:hAnsi="Times New Roman" w:cs="Times New Roman"/>
          <w:sz w:val="24"/>
          <w:szCs w:val="24"/>
        </w:rPr>
        <w:t>ed</w:t>
      </w:r>
      <w:r w:rsidRPr="00563BCE">
        <w:rPr>
          <w:rFonts w:ascii="Times New Roman" w:hAnsi="Times New Roman" w:cs="Times New Roman"/>
          <w:sz w:val="24"/>
          <w:szCs w:val="24"/>
        </w:rPr>
        <w:t xml:space="preserve"> business and commerce. In addition, the Act aimed at preventing partnerships, corporations, and persons from using methods of competition which were unfair hence affecting commerce in general. The Federal Trade Commission Act applies to a healthcare operation in the promotion of privacy and data security during the administration of care. Under appropriate circumstances, </w:t>
      </w:r>
      <w:r w:rsidR="002D2516">
        <w:rPr>
          <w:rFonts w:ascii="Times New Roman" w:hAnsi="Times New Roman" w:cs="Times New Roman"/>
          <w:sz w:val="24"/>
          <w:szCs w:val="24"/>
        </w:rPr>
        <w:t>t</w:t>
      </w:r>
      <w:r w:rsidRPr="00563BCE">
        <w:rPr>
          <w:rFonts w:ascii="Times New Roman" w:hAnsi="Times New Roman" w:cs="Times New Roman"/>
          <w:sz w:val="24"/>
          <w:szCs w:val="24"/>
        </w:rPr>
        <w:t xml:space="preserve">he Federal Trade Commission Act demands that all healthcare providers protect data from being shared and accessed by third parties. </w:t>
      </w:r>
    </w:p>
    <w:p w:rsidR="006051B0" w:rsidRPr="00563BCE" w:rsidRDefault="006051B0" w:rsidP="00563BCE">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Again, the Federal Trade Commission Act is applicable in a healthcare operation since it asserts that healthcare providers are subject to be investigated and charged if they have violated the obligations</w:t>
      </w:r>
      <w:r w:rsidR="00563BCE">
        <w:rPr>
          <w:rFonts w:ascii="Times New Roman" w:hAnsi="Times New Roman" w:cs="Times New Roman"/>
          <w:sz w:val="24"/>
          <w:szCs w:val="24"/>
        </w:rPr>
        <w:t xml:space="preserve"> of the state or</w:t>
      </w:r>
      <w:r w:rsidRPr="00563BCE">
        <w:rPr>
          <w:rFonts w:ascii="Times New Roman" w:hAnsi="Times New Roman" w:cs="Times New Roman"/>
          <w:sz w:val="24"/>
          <w:szCs w:val="24"/>
        </w:rPr>
        <w:t xml:space="preserve"> HIPAA. </w:t>
      </w:r>
      <w:r w:rsidR="009243EA" w:rsidRPr="00563BCE">
        <w:rPr>
          <w:rFonts w:ascii="Times New Roman" w:hAnsi="Times New Roman" w:cs="Times New Roman"/>
          <w:sz w:val="24"/>
          <w:szCs w:val="24"/>
        </w:rPr>
        <w:t>According to Ward (2019), t</w:t>
      </w:r>
      <w:r w:rsidRPr="00563BCE">
        <w:rPr>
          <w:rFonts w:ascii="Times New Roman" w:hAnsi="Times New Roman" w:cs="Times New Roman"/>
          <w:sz w:val="24"/>
          <w:szCs w:val="24"/>
        </w:rPr>
        <w:t>he actions of the healthcare givers involved are ruled out based on the statutory and authorities within the context of the law. The Act can also be applied in the healthcare context since it emphasizes the essence of implementing, applying, and monitoring fundamental privacy as well as data security practices by healthcare givers. Hence, the Act can be used to promote and make healthcare provision valid.</w:t>
      </w:r>
    </w:p>
    <w:p w:rsidR="00563BCE" w:rsidRDefault="00563BCE" w:rsidP="00563BCE">
      <w:pPr>
        <w:spacing w:line="480" w:lineRule="auto"/>
        <w:rPr>
          <w:rFonts w:ascii="Times New Roman" w:hAnsi="Times New Roman" w:cs="Times New Roman"/>
          <w:sz w:val="24"/>
          <w:szCs w:val="24"/>
        </w:rPr>
      </w:pPr>
    </w:p>
    <w:p w:rsidR="002D2516" w:rsidRDefault="002D2516" w:rsidP="00563BCE">
      <w:pPr>
        <w:spacing w:line="480" w:lineRule="auto"/>
        <w:jc w:val="center"/>
        <w:rPr>
          <w:rFonts w:ascii="Times New Roman" w:hAnsi="Times New Roman" w:cs="Times New Roman"/>
          <w:sz w:val="24"/>
          <w:szCs w:val="24"/>
        </w:rPr>
      </w:pPr>
    </w:p>
    <w:p w:rsidR="006051B0" w:rsidRPr="00563BCE" w:rsidRDefault="006051B0" w:rsidP="00563BCE">
      <w:pPr>
        <w:spacing w:line="480" w:lineRule="auto"/>
        <w:jc w:val="center"/>
        <w:rPr>
          <w:rFonts w:ascii="Times New Roman" w:hAnsi="Times New Roman" w:cs="Times New Roman"/>
          <w:sz w:val="24"/>
          <w:szCs w:val="24"/>
        </w:rPr>
      </w:pPr>
      <w:r w:rsidRPr="00563BCE">
        <w:rPr>
          <w:rFonts w:ascii="Times New Roman" w:hAnsi="Times New Roman" w:cs="Times New Roman"/>
          <w:sz w:val="24"/>
          <w:szCs w:val="24"/>
        </w:rPr>
        <w:lastRenderedPageBreak/>
        <w:t>References</w:t>
      </w:r>
    </w:p>
    <w:p w:rsidR="009243EA" w:rsidRPr="00563BCE" w:rsidRDefault="009243EA" w:rsidP="00563BCE">
      <w:pPr>
        <w:spacing w:line="480" w:lineRule="auto"/>
        <w:ind w:left="720" w:hanging="720"/>
        <w:rPr>
          <w:rFonts w:ascii="Times New Roman" w:hAnsi="Times New Roman" w:cs="Times New Roman"/>
          <w:sz w:val="24"/>
          <w:szCs w:val="24"/>
          <w:shd w:val="clear" w:color="auto" w:fill="FFFFFF"/>
        </w:rPr>
      </w:pPr>
      <w:r w:rsidRPr="00563BCE">
        <w:rPr>
          <w:rFonts w:ascii="Times New Roman" w:hAnsi="Times New Roman" w:cs="Times New Roman"/>
          <w:sz w:val="24"/>
          <w:szCs w:val="24"/>
          <w:shd w:val="clear" w:color="auto" w:fill="FFFFFF"/>
        </w:rPr>
        <w:t>Showalter, J. S. (2012). </w:t>
      </w:r>
      <w:r w:rsidRPr="00563BCE">
        <w:rPr>
          <w:rFonts w:ascii="Times New Roman" w:hAnsi="Times New Roman" w:cs="Times New Roman"/>
          <w:i/>
          <w:iCs/>
          <w:sz w:val="24"/>
          <w:szCs w:val="24"/>
          <w:shd w:val="clear" w:color="auto" w:fill="FFFFFF"/>
        </w:rPr>
        <w:t>The law of healthcare administration</w:t>
      </w:r>
      <w:r w:rsidRPr="00563BCE">
        <w:rPr>
          <w:rFonts w:ascii="Times New Roman" w:hAnsi="Times New Roman" w:cs="Times New Roman"/>
          <w:sz w:val="24"/>
          <w:szCs w:val="24"/>
          <w:shd w:val="clear" w:color="auto" w:fill="FFFFFF"/>
        </w:rPr>
        <w:t>. (7</w:t>
      </w:r>
      <w:r w:rsidRPr="00563BCE">
        <w:rPr>
          <w:rFonts w:ascii="Times New Roman" w:hAnsi="Times New Roman" w:cs="Times New Roman"/>
          <w:sz w:val="24"/>
          <w:szCs w:val="24"/>
          <w:shd w:val="clear" w:color="auto" w:fill="FFFFFF"/>
          <w:vertAlign w:val="superscript"/>
        </w:rPr>
        <w:t>th</w:t>
      </w:r>
      <w:r w:rsidRPr="00563BCE">
        <w:rPr>
          <w:rFonts w:ascii="Times New Roman" w:hAnsi="Times New Roman" w:cs="Times New Roman"/>
          <w:sz w:val="24"/>
          <w:szCs w:val="24"/>
          <w:shd w:val="clear" w:color="auto" w:fill="FFFFFF"/>
        </w:rPr>
        <w:t>ed.). Chicago, IL: Health Administration Press.ISBN: 978-1-56793-644-5.</w:t>
      </w:r>
    </w:p>
    <w:p w:rsidR="006051B0" w:rsidRPr="00563BCE" w:rsidRDefault="006051B0" w:rsidP="00563BCE">
      <w:pPr>
        <w:spacing w:line="480" w:lineRule="auto"/>
        <w:ind w:left="720" w:hanging="720"/>
        <w:rPr>
          <w:rFonts w:ascii="Times New Roman" w:hAnsi="Times New Roman" w:cs="Times New Roman"/>
          <w:sz w:val="24"/>
          <w:szCs w:val="24"/>
        </w:rPr>
      </w:pPr>
      <w:r w:rsidRPr="00563BCE">
        <w:rPr>
          <w:rFonts w:ascii="Times New Roman" w:hAnsi="Times New Roman" w:cs="Times New Roman"/>
          <w:color w:val="222222"/>
          <w:sz w:val="24"/>
          <w:szCs w:val="24"/>
          <w:shd w:val="clear" w:color="auto" w:fill="FFFFFF"/>
        </w:rPr>
        <w:t>Ward, P. C. (2019). </w:t>
      </w:r>
      <w:r w:rsidRPr="00563BCE">
        <w:rPr>
          <w:rFonts w:ascii="Times New Roman" w:hAnsi="Times New Roman" w:cs="Times New Roman"/>
          <w:i/>
          <w:iCs/>
          <w:color w:val="222222"/>
          <w:sz w:val="24"/>
          <w:szCs w:val="24"/>
          <w:shd w:val="clear" w:color="auto" w:fill="FFFFFF"/>
        </w:rPr>
        <w:t>Federal trade commission: Law, practice and procedure</w:t>
      </w:r>
      <w:r w:rsidRPr="00563BCE">
        <w:rPr>
          <w:rFonts w:ascii="Times New Roman" w:hAnsi="Times New Roman" w:cs="Times New Roman"/>
          <w:color w:val="222222"/>
          <w:sz w:val="24"/>
          <w:szCs w:val="24"/>
          <w:shd w:val="clear" w:color="auto" w:fill="FFFFFF"/>
        </w:rPr>
        <w:t>. Law Journal Press.</w:t>
      </w:r>
    </w:p>
    <w:p w:rsidR="006051B0" w:rsidRPr="00AF5C71" w:rsidRDefault="006051B0" w:rsidP="00AF5C71">
      <w:pPr>
        <w:spacing w:line="480" w:lineRule="auto"/>
        <w:jc w:val="center"/>
        <w:rPr>
          <w:rFonts w:ascii="Times New Roman" w:hAnsi="Times New Roman" w:cs="Times New Roman"/>
          <w:b/>
          <w:sz w:val="24"/>
          <w:szCs w:val="24"/>
        </w:rPr>
      </w:pPr>
      <w:r w:rsidRPr="00AF5C71">
        <w:rPr>
          <w:rFonts w:ascii="Times New Roman" w:hAnsi="Times New Roman" w:cs="Times New Roman"/>
          <w:b/>
          <w:sz w:val="24"/>
          <w:szCs w:val="24"/>
        </w:rPr>
        <w:t>Question 2</w:t>
      </w:r>
    </w:p>
    <w:p w:rsidR="006051B0" w:rsidRPr="00563BCE" w:rsidRDefault="006051B0" w:rsidP="00AF5C71">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Efforts towards examining hospital competition based on their geographic and product markets of large healthcare organizations serve as the new basis of new hospital payment mechanisms. In addition, Mayo Clinic and Johns Hopkins are some of the healthcare facilities, which accommodate a lot of patients in all the departments for both in and out</w:t>
      </w:r>
      <w:r w:rsidR="00AF5C71">
        <w:rPr>
          <w:rFonts w:ascii="Times New Roman" w:hAnsi="Times New Roman" w:cs="Times New Roman"/>
          <w:sz w:val="24"/>
          <w:szCs w:val="24"/>
        </w:rPr>
        <w:t>-</w:t>
      </w:r>
      <w:r w:rsidRPr="00563BCE">
        <w:rPr>
          <w:rFonts w:ascii="Times New Roman" w:hAnsi="Times New Roman" w:cs="Times New Roman"/>
          <w:sz w:val="24"/>
          <w:szCs w:val="24"/>
        </w:rPr>
        <w:t>patients</w:t>
      </w:r>
      <w:r w:rsidR="009243EA" w:rsidRPr="00563BCE">
        <w:rPr>
          <w:rFonts w:ascii="Times New Roman" w:hAnsi="Times New Roman" w:cs="Times New Roman"/>
          <w:sz w:val="24"/>
          <w:szCs w:val="24"/>
        </w:rPr>
        <w:t xml:space="preserve"> (Ginter, Duncan &amp; Swayne, 2018)</w:t>
      </w:r>
      <w:r w:rsidRPr="00563BCE">
        <w:rPr>
          <w:rFonts w:ascii="Times New Roman" w:hAnsi="Times New Roman" w:cs="Times New Roman"/>
          <w:sz w:val="24"/>
          <w:szCs w:val="24"/>
        </w:rPr>
        <w:t xml:space="preserve">. For that reason, they are bound to have large geographic and product markets. Geographically, large healthcare organizations such as Mayo Clinic and Johns Hopkins would attempt to make their appearance look friendly and accommodative to make people notice the kind of healthcare facility </w:t>
      </w:r>
      <w:r w:rsidR="00AF5C71">
        <w:rPr>
          <w:rFonts w:ascii="Times New Roman" w:hAnsi="Times New Roman" w:cs="Times New Roman"/>
          <w:sz w:val="24"/>
          <w:szCs w:val="24"/>
        </w:rPr>
        <w:t>they provide</w:t>
      </w:r>
      <w:r w:rsidRPr="00563BCE">
        <w:rPr>
          <w:rFonts w:ascii="Times New Roman" w:hAnsi="Times New Roman" w:cs="Times New Roman"/>
          <w:sz w:val="24"/>
          <w:szCs w:val="24"/>
        </w:rPr>
        <w:t xml:space="preserve">. The main aim of seeking recognition is to attract and encourage patients to seek quality and adequate medication from the hospital. In addition, product markets would attempt to have sources of patients as well as family members in case they need anything as they receive care. On the same note, product markets may provide services and offer funds in case the hospitals are out of stock. </w:t>
      </w:r>
    </w:p>
    <w:p w:rsidR="006051B0" w:rsidRPr="00563BCE" w:rsidRDefault="006051B0" w:rsidP="00AF5C71">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 xml:space="preserve">One new competitor’s barrier to entry to geographic and product markets is keeping up with advanced medical knowledge. The field of healthcare has recognized the essence of technology during the provision of medication. </w:t>
      </w:r>
      <w:r w:rsidR="009243EA" w:rsidRPr="00563BCE">
        <w:rPr>
          <w:rFonts w:ascii="Times New Roman" w:hAnsi="Times New Roman" w:cs="Times New Roman"/>
          <w:sz w:val="24"/>
          <w:szCs w:val="24"/>
        </w:rPr>
        <w:t>According to Showalter (2012), a</w:t>
      </w:r>
      <w:r w:rsidRPr="00563BCE">
        <w:rPr>
          <w:rFonts w:ascii="Times New Roman" w:hAnsi="Times New Roman" w:cs="Times New Roman"/>
          <w:sz w:val="24"/>
          <w:szCs w:val="24"/>
        </w:rPr>
        <w:t xml:space="preserve">dvanced medical knowledge enables physicians to give treatment, which is free from errors and negligence. However, there have been many medications which lack proper treatments up to </w:t>
      </w:r>
      <w:r w:rsidRPr="00563BCE">
        <w:rPr>
          <w:rFonts w:ascii="Times New Roman" w:hAnsi="Times New Roman" w:cs="Times New Roman"/>
          <w:sz w:val="24"/>
          <w:szCs w:val="24"/>
        </w:rPr>
        <w:lastRenderedPageBreak/>
        <w:t xml:space="preserve">date, and as such, these hospitals have been unable to introduce technologies which can be used for treatment. As healthcare continues being in demand, the market is challenged to meet the patient’s needs. </w:t>
      </w:r>
    </w:p>
    <w:p w:rsidR="006051B0" w:rsidRPr="00563BCE" w:rsidRDefault="006051B0" w:rsidP="00AF5C71">
      <w:pPr>
        <w:spacing w:line="480" w:lineRule="auto"/>
        <w:jc w:val="center"/>
        <w:rPr>
          <w:rFonts w:ascii="Times New Roman" w:hAnsi="Times New Roman" w:cs="Times New Roman"/>
          <w:sz w:val="24"/>
          <w:szCs w:val="24"/>
        </w:rPr>
      </w:pPr>
      <w:r w:rsidRPr="00563BCE">
        <w:rPr>
          <w:rFonts w:ascii="Times New Roman" w:hAnsi="Times New Roman" w:cs="Times New Roman"/>
          <w:sz w:val="24"/>
          <w:szCs w:val="24"/>
        </w:rPr>
        <w:t>References</w:t>
      </w:r>
    </w:p>
    <w:p w:rsidR="006051B0" w:rsidRPr="00563BCE" w:rsidRDefault="006051B0" w:rsidP="00AF5C71">
      <w:pPr>
        <w:spacing w:line="480" w:lineRule="auto"/>
        <w:ind w:left="720" w:hanging="720"/>
        <w:rPr>
          <w:rFonts w:ascii="Times New Roman" w:hAnsi="Times New Roman" w:cs="Times New Roman"/>
          <w:color w:val="222222"/>
          <w:sz w:val="24"/>
          <w:szCs w:val="24"/>
          <w:shd w:val="clear" w:color="auto" w:fill="FFFFFF"/>
        </w:rPr>
      </w:pPr>
      <w:r w:rsidRPr="00563BCE">
        <w:rPr>
          <w:rFonts w:ascii="Times New Roman" w:hAnsi="Times New Roman" w:cs="Times New Roman"/>
          <w:color w:val="222222"/>
          <w:sz w:val="24"/>
          <w:szCs w:val="24"/>
          <w:shd w:val="clear" w:color="auto" w:fill="FFFFFF"/>
        </w:rPr>
        <w:t>Ginter, P. M., Duncan, W. J., &amp; Swayne, L. E. (2018). </w:t>
      </w:r>
      <w:r w:rsidRPr="00563BCE">
        <w:rPr>
          <w:rFonts w:ascii="Times New Roman" w:hAnsi="Times New Roman" w:cs="Times New Roman"/>
          <w:i/>
          <w:iCs/>
          <w:color w:val="222222"/>
          <w:sz w:val="24"/>
          <w:szCs w:val="24"/>
          <w:shd w:val="clear" w:color="auto" w:fill="FFFFFF"/>
        </w:rPr>
        <w:t>The strategic management of health care organizations</w:t>
      </w:r>
      <w:r w:rsidRPr="00563BCE">
        <w:rPr>
          <w:rFonts w:ascii="Times New Roman" w:hAnsi="Times New Roman" w:cs="Times New Roman"/>
          <w:color w:val="222222"/>
          <w:sz w:val="24"/>
          <w:szCs w:val="24"/>
          <w:shd w:val="clear" w:color="auto" w:fill="FFFFFF"/>
        </w:rPr>
        <w:t>. John Wiley &amp; Sons.</w:t>
      </w:r>
    </w:p>
    <w:p w:rsidR="009243EA" w:rsidRPr="00563BCE" w:rsidRDefault="009243EA" w:rsidP="00563BCE">
      <w:pPr>
        <w:spacing w:line="480" w:lineRule="auto"/>
        <w:ind w:left="720" w:hanging="720"/>
        <w:rPr>
          <w:rFonts w:ascii="Times New Roman" w:hAnsi="Times New Roman" w:cs="Times New Roman"/>
          <w:sz w:val="24"/>
          <w:szCs w:val="24"/>
          <w:shd w:val="clear" w:color="auto" w:fill="FFFFFF"/>
        </w:rPr>
      </w:pPr>
      <w:r w:rsidRPr="00563BCE">
        <w:rPr>
          <w:rFonts w:ascii="Times New Roman" w:hAnsi="Times New Roman" w:cs="Times New Roman"/>
          <w:sz w:val="24"/>
          <w:szCs w:val="24"/>
          <w:shd w:val="clear" w:color="auto" w:fill="FFFFFF"/>
        </w:rPr>
        <w:t>Showalter, J. S. (2012). </w:t>
      </w:r>
      <w:r w:rsidRPr="00563BCE">
        <w:rPr>
          <w:rFonts w:ascii="Times New Roman" w:hAnsi="Times New Roman" w:cs="Times New Roman"/>
          <w:i/>
          <w:iCs/>
          <w:sz w:val="24"/>
          <w:szCs w:val="24"/>
          <w:shd w:val="clear" w:color="auto" w:fill="FFFFFF"/>
        </w:rPr>
        <w:t>The law of healthcare administration</w:t>
      </w:r>
      <w:r w:rsidRPr="00563BCE">
        <w:rPr>
          <w:rFonts w:ascii="Times New Roman" w:hAnsi="Times New Roman" w:cs="Times New Roman"/>
          <w:sz w:val="24"/>
          <w:szCs w:val="24"/>
          <w:shd w:val="clear" w:color="auto" w:fill="FFFFFF"/>
        </w:rPr>
        <w:t>. (7</w:t>
      </w:r>
      <w:r w:rsidRPr="00563BCE">
        <w:rPr>
          <w:rFonts w:ascii="Times New Roman" w:hAnsi="Times New Roman" w:cs="Times New Roman"/>
          <w:sz w:val="24"/>
          <w:szCs w:val="24"/>
          <w:shd w:val="clear" w:color="auto" w:fill="FFFFFF"/>
          <w:vertAlign w:val="superscript"/>
        </w:rPr>
        <w:t>th</w:t>
      </w:r>
      <w:r w:rsidRPr="00563BCE">
        <w:rPr>
          <w:rFonts w:ascii="Times New Roman" w:hAnsi="Times New Roman" w:cs="Times New Roman"/>
          <w:sz w:val="24"/>
          <w:szCs w:val="24"/>
          <w:shd w:val="clear" w:color="auto" w:fill="FFFFFF"/>
        </w:rPr>
        <w:t>ed.). Chicago, IL: Health Administration Press.ISBN: 978-1-56793-644-5.</w:t>
      </w:r>
    </w:p>
    <w:p w:rsidR="006051B0" w:rsidRPr="002D2516" w:rsidRDefault="006051B0" w:rsidP="00AF5C71">
      <w:pPr>
        <w:spacing w:line="480" w:lineRule="auto"/>
        <w:jc w:val="center"/>
        <w:rPr>
          <w:rFonts w:ascii="Times New Roman" w:hAnsi="Times New Roman" w:cs="Times New Roman"/>
          <w:b/>
          <w:sz w:val="24"/>
          <w:szCs w:val="24"/>
        </w:rPr>
      </w:pPr>
      <w:r w:rsidRPr="002D2516">
        <w:rPr>
          <w:rFonts w:ascii="Times New Roman" w:hAnsi="Times New Roman" w:cs="Times New Roman"/>
          <w:b/>
          <w:sz w:val="24"/>
          <w:szCs w:val="24"/>
        </w:rPr>
        <w:t>Question 3</w:t>
      </w:r>
    </w:p>
    <w:p w:rsidR="002D2516" w:rsidRDefault="006051B0" w:rsidP="0034524D">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Greater Anchorage Area Borough v. Sisters of Charity is a case that concerns the exemption of taxes as far as buildings and spaces are concerned</w:t>
      </w:r>
      <w:r w:rsidR="0034524D">
        <w:rPr>
          <w:rFonts w:ascii="Times New Roman" w:hAnsi="Times New Roman" w:cs="Times New Roman"/>
          <w:sz w:val="24"/>
          <w:szCs w:val="24"/>
        </w:rPr>
        <w:t xml:space="preserve"> in the healthcare context</w:t>
      </w:r>
      <w:r w:rsidRPr="00563BCE">
        <w:rPr>
          <w:rFonts w:ascii="Times New Roman" w:hAnsi="Times New Roman" w:cs="Times New Roman"/>
          <w:sz w:val="24"/>
          <w:szCs w:val="24"/>
        </w:rPr>
        <w:t xml:space="preserve">. The primary issue as far as this appeal is concerned is the tax-exempt status of a building that was owned by Sisters of Charity of the House of Providence. </w:t>
      </w:r>
      <w:r w:rsidR="009243EA" w:rsidRPr="00563BCE">
        <w:rPr>
          <w:rFonts w:ascii="Times New Roman" w:hAnsi="Times New Roman" w:cs="Times New Roman"/>
          <w:sz w:val="24"/>
          <w:szCs w:val="24"/>
        </w:rPr>
        <w:t>According to Showalter (2012), t</w:t>
      </w:r>
      <w:r w:rsidRPr="00563BCE">
        <w:rPr>
          <w:rFonts w:ascii="Times New Roman" w:hAnsi="Times New Roman" w:cs="Times New Roman"/>
          <w:sz w:val="24"/>
          <w:szCs w:val="24"/>
        </w:rPr>
        <w:t>he Sisters of Charity was a long-term provider of healthcare in Alaska, and as such, they decided to build a professional building in an adjacent position to their building. After the construction of the building was completed in 1972, it had four floors, including a basement. Three of the floors are the subject of this particular appeal because the parties had agreed earlier that the tunnel and basement would be exempted from taxation. The three floors were rented to the doctors at Prov</w:t>
      </w:r>
      <w:r w:rsidR="0034524D">
        <w:rPr>
          <w:rFonts w:ascii="Times New Roman" w:hAnsi="Times New Roman" w:cs="Times New Roman"/>
          <w:sz w:val="24"/>
          <w:szCs w:val="24"/>
        </w:rPr>
        <w:t>idence Hospital, although they we</w:t>
      </w:r>
      <w:r w:rsidRPr="00563BCE">
        <w:rPr>
          <w:rFonts w:ascii="Times New Roman" w:hAnsi="Times New Roman" w:cs="Times New Roman"/>
          <w:sz w:val="24"/>
          <w:szCs w:val="24"/>
        </w:rPr>
        <w:t xml:space="preserve">re subject to treat all patients who require care. However, a taxpayer who claims tax </w:t>
      </w:r>
      <w:r w:rsidR="0034524D">
        <w:rPr>
          <w:rFonts w:ascii="Times New Roman" w:hAnsi="Times New Roman" w:cs="Times New Roman"/>
          <w:sz w:val="24"/>
          <w:szCs w:val="24"/>
        </w:rPr>
        <w:t>exemption is tasked with the task</w:t>
      </w:r>
      <w:r w:rsidRPr="00563BCE">
        <w:rPr>
          <w:rFonts w:ascii="Times New Roman" w:hAnsi="Times New Roman" w:cs="Times New Roman"/>
          <w:sz w:val="24"/>
          <w:szCs w:val="24"/>
        </w:rPr>
        <w:t xml:space="preserve"> of showing that the property should be taxed. On the same note, the Sisters must show that the office space left is exempted from being taxed through showing that the property is not meant to accumulate profits in its efforts to administer care</w:t>
      </w:r>
      <w:r w:rsidR="00083046" w:rsidRPr="00563BCE">
        <w:rPr>
          <w:rFonts w:ascii="Times New Roman" w:hAnsi="Times New Roman" w:cs="Times New Roman"/>
          <w:sz w:val="24"/>
          <w:szCs w:val="24"/>
        </w:rPr>
        <w:t xml:space="preserve"> (Showalter, 2012)</w:t>
      </w:r>
      <w:r w:rsidRPr="00563BCE">
        <w:rPr>
          <w:rFonts w:ascii="Times New Roman" w:hAnsi="Times New Roman" w:cs="Times New Roman"/>
          <w:sz w:val="24"/>
          <w:szCs w:val="24"/>
        </w:rPr>
        <w:t xml:space="preserve">. </w:t>
      </w:r>
    </w:p>
    <w:p w:rsidR="006051B0" w:rsidRPr="00563BCE" w:rsidRDefault="006051B0" w:rsidP="002D2516">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lastRenderedPageBreak/>
        <w:t>The Supreme Court concluded that since the Sisters failed to use the first, second, and third floors exclusively for the benefit of the hospital, it faile</w:t>
      </w:r>
      <w:r w:rsidR="002D2516">
        <w:rPr>
          <w:rFonts w:ascii="Times New Roman" w:hAnsi="Times New Roman" w:cs="Times New Roman"/>
          <w:sz w:val="24"/>
          <w:szCs w:val="24"/>
        </w:rPr>
        <w:t xml:space="preserve">d to qualify for tax-exemption. </w:t>
      </w:r>
      <w:r w:rsidRPr="00563BCE">
        <w:rPr>
          <w:rFonts w:ascii="Times New Roman" w:hAnsi="Times New Roman" w:cs="Times New Roman"/>
          <w:sz w:val="24"/>
          <w:szCs w:val="24"/>
        </w:rPr>
        <w:t>On the other hand, the case for Barnes Hospital v. Collector of Revenue is an appeal by Barnes Hospital concerning the taxation of Queeny Towers, which was a building that was connected to and used by the hospital for the benefit of tax-exempt reasons of offering treatment to patients</w:t>
      </w:r>
      <w:r w:rsidR="00554582" w:rsidRPr="00563BCE">
        <w:rPr>
          <w:rFonts w:ascii="Times New Roman" w:hAnsi="Times New Roman" w:cs="Times New Roman"/>
          <w:sz w:val="24"/>
          <w:szCs w:val="24"/>
        </w:rPr>
        <w:t xml:space="preserve"> (Showalter, 2012)</w:t>
      </w:r>
      <w:r w:rsidRPr="00563BCE">
        <w:rPr>
          <w:rFonts w:ascii="Times New Roman" w:hAnsi="Times New Roman" w:cs="Times New Roman"/>
          <w:sz w:val="24"/>
          <w:szCs w:val="24"/>
        </w:rPr>
        <w:t>. On the same note, Washington University-leased Queeny Towers away from Barnes Hospital. The court concluded</w:t>
      </w:r>
      <w:r w:rsidR="002D2516">
        <w:rPr>
          <w:rFonts w:ascii="Times New Roman" w:hAnsi="Times New Roman" w:cs="Times New Roman"/>
          <w:sz w:val="24"/>
          <w:szCs w:val="24"/>
        </w:rPr>
        <w:t xml:space="preserve"> and</w:t>
      </w:r>
      <w:r w:rsidRPr="00563BCE">
        <w:rPr>
          <w:rFonts w:ascii="Times New Roman" w:hAnsi="Times New Roman" w:cs="Times New Roman"/>
          <w:sz w:val="24"/>
          <w:szCs w:val="24"/>
        </w:rPr>
        <w:t xml:space="preserve"> ruled the case in favour of Barnes Hospital, and as such, the Collector and the Assessor appealed to the Supreme Court. In this case, the main issue is whether the property which was owned by tax-exempt hospital leased to the medical school for use was to be taxed or not even though it was used for part-time faculty members. </w:t>
      </w:r>
      <w:r w:rsidR="004A6102" w:rsidRPr="00563BCE">
        <w:rPr>
          <w:rFonts w:ascii="Times New Roman" w:hAnsi="Times New Roman" w:cs="Times New Roman"/>
          <w:sz w:val="24"/>
          <w:szCs w:val="24"/>
        </w:rPr>
        <w:t xml:space="preserve">According to Showalter (2012), the </w:t>
      </w:r>
      <w:r w:rsidRPr="00563BCE">
        <w:rPr>
          <w:rFonts w:ascii="Times New Roman" w:hAnsi="Times New Roman" w:cs="Times New Roman"/>
          <w:sz w:val="24"/>
          <w:szCs w:val="24"/>
        </w:rPr>
        <w:t xml:space="preserve">court reversed the case, and as such, the cause remanded with directions and the questioned property was to be withheld from the tax rolls of St. Louis City while the City Collector was prohibited from levying any form of taxes. </w:t>
      </w:r>
    </w:p>
    <w:p w:rsidR="006051B0" w:rsidRPr="00563BCE" w:rsidRDefault="006051B0" w:rsidP="0034524D">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 xml:space="preserve">The two courts reached opposite conclusions since the case for Barnes Hospital v. Collector of Revenue was more complex as the part of building </w:t>
      </w:r>
      <w:r w:rsidR="0034524D">
        <w:rPr>
          <w:rFonts w:ascii="Times New Roman" w:hAnsi="Times New Roman" w:cs="Times New Roman"/>
          <w:sz w:val="24"/>
          <w:szCs w:val="24"/>
        </w:rPr>
        <w:t>w</w:t>
      </w:r>
      <w:r w:rsidRPr="00563BCE">
        <w:rPr>
          <w:rFonts w:ascii="Times New Roman" w:hAnsi="Times New Roman" w:cs="Times New Roman"/>
          <w:sz w:val="24"/>
          <w:szCs w:val="24"/>
        </w:rPr>
        <w:t>as used for charitable purposes. Since the Missouri Supreme Court failed to define</w:t>
      </w:r>
      <w:r w:rsidR="0034524D">
        <w:rPr>
          <w:rFonts w:ascii="Times New Roman" w:hAnsi="Times New Roman" w:cs="Times New Roman"/>
          <w:sz w:val="24"/>
          <w:szCs w:val="24"/>
        </w:rPr>
        <w:t xml:space="preserve"> the meaning of the words ‘‘used </w:t>
      </w:r>
      <w:r w:rsidRPr="00563BCE">
        <w:rPr>
          <w:rFonts w:ascii="Times New Roman" w:hAnsi="Times New Roman" w:cs="Times New Roman"/>
          <w:sz w:val="24"/>
          <w:szCs w:val="24"/>
        </w:rPr>
        <w:t xml:space="preserve">exclusively’’. </w:t>
      </w:r>
      <w:r w:rsidR="00554582" w:rsidRPr="00563BCE">
        <w:rPr>
          <w:rFonts w:ascii="Times New Roman" w:hAnsi="Times New Roman" w:cs="Times New Roman"/>
          <w:sz w:val="24"/>
          <w:szCs w:val="24"/>
        </w:rPr>
        <w:t>According to Showalter (2012),</w:t>
      </w:r>
      <w:r w:rsidRPr="00563BCE">
        <w:rPr>
          <w:rFonts w:ascii="Times New Roman" w:hAnsi="Times New Roman" w:cs="Times New Roman"/>
          <w:sz w:val="24"/>
          <w:szCs w:val="24"/>
        </w:rPr>
        <w:t xml:space="preserve"> the court discovered that rent which was paid to Barnes Hospital by the Medical School failed to produce any profits and ended up yielding to losses. This was different in the case of Greater Anchorage Area Borough v. Sisters of Charity since the Sisters of Charity failed to use the floors exclusively to benefit pati</w:t>
      </w:r>
      <w:r w:rsidR="00554582" w:rsidRPr="00563BCE">
        <w:rPr>
          <w:rFonts w:ascii="Times New Roman" w:hAnsi="Times New Roman" w:cs="Times New Roman"/>
          <w:sz w:val="24"/>
          <w:szCs w:val="24"/>
        </w:rPr>
        <w:t xml:space="preserve">ents fully during care delivery. Just like the property of any other type of business, the property for-profit healthcare organization or hospitals is subject to be fully taxable. If the owner of the healthcare organization claims to be a state constitutional, charity or statutory, the provisions are keen to determine exempt status. </w:t>
      </w:r>
      <w:r w:rsidRPr="00563BCE">
        <w:rPr>
          <w:rFonts w:ascii="Times New Roman" w:hAnsi="Times New Roman" w:cs="Times New Roman"/>
          <w:sz w:val="24"/>
          <w:szCs w:val="24"/>
        </w:rPr>
        <w:t xml:space="preserve">In addition, the interpretation that I find to be more </w:t>
      </w:r>
      <w:r w:rsidRPr="00563BCE">
        <w:rPr>
          <w:rFonts w:ascii="Times New Roman" w:hAnsi="Times New Roman" w:cs="Times New Roman"/>
          <w:sz w:val="24"/>
          <w:szCs w:val="24"/>
        </w:rPr>
        <w:lastRenderedPageBreak/>
        <w:t>persuasive is that of Greater Anchorage Area Borough v. Sisters of Charity. According to this</w:t>
      </w:r>
      <w:r w:rsidR="00AE401E" w:rsidRPr="00563BCE">
        <w:rPr>
          <w:rFonts w:ascii="Times New Roman" w:hAnsi="Times New Roman" w:cs="Times New Roman"/>
          <w:sz w:val="24"/>
          <w:szCs w:val="24"/>
        </w:rPr>
        <w:t xml:space="preserve"> Grigsby (2018)</w:t>
      </w:r>
      <w:r w:rsidRPr="00563BCE">
        <w:rPr>
          <w:rFonts w:ascii="Times New Roman" w:hAnsi="Times New Roman" w:cs="Times New Roman"/>
          <w:sz w:val="24"/>
          <w:szCs w:val="24"/>
        </w:rPr>
        <w:t>, it is clear that all organizations that exempt tax are not for profit but not all organizations that are not for profit are tax exempt. On the same note, allowing non-profit hospitals to rent their property out to other organizations would mean that they take money from the government via the tax exemptions. The government would not benefit since the healthcare facilities would be serving those in need of care.</w:t>
      </w:r>
    </w:p>
    <w:p w:rsidR="006051B0" w:rsidRPr="00563BCE" w:rsidRDefault="006051B0" w:rsidP="00CC5E35">
      <w:pPr>
        <w:spacing w:line="480" w:lineRule="auto"/>
        <w:ind w:firstLine="720"/>
        <w:rPr>
          <w:rFonts w:ascii="Times New Roman" w:hAnsi="Times New Roman" w:cs="Times New Roman"/>
          <w:sz w:val="24"/>
          <w:szCs w:val="24"/>
        </w:rPr>
      </w:pPr>
      <w:r w:rsidRPr="00563BCE">
        <w:rPr>
          <w:rFonts w:ascii="Times New Roman" w:hAnsi="Times New Roman" w:cs="Times New Roman"/>
          <w:sz w:val="24"/>
          <w:szCs w:val="24"/>
        </w:rPr>
        <w:t>Leasing hospital space to vendors such as McDo</w:t>
      </w:r>
      <w:r w:rsidR="00AE401E" w:rsidRPr="00563BCE">
        <w:rPr>
          <w:rFonts w:ascii="Times New Roman" w:hAnsi="Times New Roman" w:cs="Times New Roman"/>
          <w:sz w:val="24"/>
          <w:szCs w:val="24"/>
        </w:rPr>
        <w:t>nald’s Restaurant would change the perspective and direction of the argument</w:t>
      </w:r>
      <w:r w:rsidRPr="00563BCE">
        <w:rPr>
          <w:rFonts w:ascii="Times New Roman" w:hAnsi="Times New Roman" w:cs="Times New Roman"/>
          <w:sz w:val="24"/>
          <w:szCs w:val="24"/>
        </w:rPr>
        <w:t xml:space="preserve">. </w:t>
      </w:r>
      <w:r w:rsidR="00AE401E" w:rsidRPr="00563BCE">
        <w:rPr>
          <w:rFonts w:ascii="Times New Roman" w:hAnsi="Times New Roman" w:cs="Times New Roman"/>
          <w:sz w:val="24"/>
          <w:szCs w:val="24"/>
        </w:rPr>
        <w:t>The primary reason for any</w:t>
      </w:r>
      <w:r w:rsidR="00CC5E35">
        <w:rPr>
          <w:rFonts w:ascii="Times New Roman" w:hAnsi="Times New Roman" w:cs="Times New Roman"/>
          <w:sz w:val="24"/>
          <w:szCs w:val="24"/>
        </w:rPr>
        <w:t xml:space="preserve"> hospital or healthcare facilities</w:t>
      </w:r>
      <w:r w:rsidR="00AE401E" w:rsidRPr="00563BCE">
        <w:rPr>
          <w:rFonts w:ascii="Times New Roman" w:hAnsi="Times New Roman" w:cs="Times New Roman"/>
          <w:sz w:val="24"/>
          <w:szCs w:val="24"/>
        </w:rPr>
        <w:t xml:space="preserve"> is to provide adequate healthcare through an extended coverage. </w:t>
      </w:r>
      <w:r w:rsidRPr="00563BCE">
        <w:rPr>
          <w:rFonts w:ascii="Times New Roman" w:hAnsi="Times New Roman" w:cs="Times New Roman"/>
          <w:sz w:val="24"/>
          <w:szCs w:val="24"/>
        </w:rPr>
        <w:t xml:space="preserve">In this case, the primary purpose of leasing would be to accumulate profits for the benefit of </w:t>
      </w:r>
      <w:r w:rsidR="003D7F34" w:rsidRPr="00563BCE">
        <w:rPr>
          <w:rFonts w:ascii="Times New Roman" w:hAnsi="Times New Roman" w:cs="Times New Roman"/>
          <w:sz w:val="24"/>
          <w:szCs w:val="24"/>
        </w:rPr>
        <w:t xml:space="preserve">both </w:t>
      </w:r>
      <w:r w:rsidRPr="00563BCE">
        <w:rPr>
          <w:rFonts w:ascii="Times New Roman" w:hAnsi="Times New Roman" w:cs="Times New Roman"/>
          <w:sz w:val="24"/>
          <w:szCs w:val="24"/>
        </w:rPr>
        <w:t>McDonald’s Restaurant</w:t>
      </w:r>
      <w:r w:rsidR="003D7F34" w:rsidRPr="00563BCE">
        <w:rPr>
          <w:rFonts w:ascii="Times New Roman" w:hAnsi="Times New Roman" w:cs="Times New Roman"/>
          <w:sz w:val="24"/>
          <w:szCs w:val="24"/>
        </w:rPr>
        <w:t xml:space="preserve"> and the hospital</w:t>
      </w:r>
      <w:r w:rsidRPr="00563BCE">
        <w:rPr>
          <w:rFonts w:ascii="Times New Roman" w:hAnsi="Times New Roman" w:cs="Times New Roman"/>
          <w:sz w:val="24"/>
          <w:szCs w:val="24"/>
        </w:rPr>
        <w:t>. In other words, leasing would not benefit the patients in the delivery of care since the hospital will not have adequate space to conduct activities that may increase health coverage</w:t>
      </w:r>
      <w:r w:rsidR="00AE401E" w:rsidRPr="00563BCE">
        <w:rPr>
          <w:rFonts w:ascii="Times New Roman" w:hAnsi="Times New Roman" w:cs="Times New Roman"/>
          <w:sz w:val="24"/>
          <w:szCs w:val="24"/>
        </w:rPr>
        <w:t xml:space="preserve"> (Wiist, 2018)</w:t>
      </w:r>
      <w:r w:rsidRPr="00563BCE">
        <w:rPr>
          <w:rFonts w:ascii="Times New Roman" w:hAnsi="Times New Roman" w:cs="Times New Roman"/>
          <w:sz w:val="24"/>
          <w:szCs w:val="24"/>
        </w:rPr>
        <w:t>. On the same note, leasing hospital space to vendors such as McDonald’s Res</w:t>
      </w:r>
      <w:r w:rsidR="003D7F34" w:rsidRPr="00563BCE">
        <w:rPr>
          <w:rFonts w:ascii="Times New Roman" w:hAnsi="Times New Roman" w:cs="Times New Roman"/>
          <w:sz w:val="24"/>
          <w:szCs w:val="24"/>
        </w:rPr>
        <w:t>taurant would affect tax rates</w:t>
      </w:r>
      <w:r w:rsidRPr="00563BCE">
        <w:rPr>
          <w:rFonts w:ascii="Times New Roman" w:hAnsi="Times New Roman" w:cs="Times New Roman"/>
          <w:sz w:val="24"/>
          <w:szCs w:val="24"/>
        </w:rPr>
        <w:t xml:space="preserve"> in the exemption of tax. The main reason why McDonald’s Restaurant would lease space from the hospital is to cater to its customers</w:t>
      </w:r>
      <w:r w:rsidR="003D7F34" w:rsidRPr="00563BCE">
        <w:rPr>
          <w:rFonts w:ascii="Times New Roman" w:hAnsi="Times New Roman" w:cs="Times New Roman"/>
          <w:sz w:val="24"/>
          <w:szCs w:val="24"/>
        </w:rPr>
        <w:t xml:space="preserve"> with an intention to improve customer services to its customers. However, customers will benefit at the expense of patients who are struggling to receive healthcare</w:t>
      </w:r>
      <w:r w:rsidRPr="00563BCE">
        <w:rPr>
          <w:rFonts w:ascii="Times New Roman" w:hAnsi="Times New Roman" w:cs="Times New Roman"/>
          <w:sz w:val="24"/>
          <w:szCs w:val="24"/>
        </w:rPr>
        <w:t>. However, this will not benefit the patients who are receiving care in the hospital. In this case, the hospital would not be exempted from tax since McDonald’s Restaurant would pay for the leasing activities. As a result, the hospital would benefit from the accumulation of prof</w:t>
      </w:r>
      <w:r w:rsidR="005E72F9" w:rsidRPr="00563BCE">
        <w:rPr>
          <w:rFonts w:ascii="Times New Roman" w:hAnsi="Times New Roman" w:cs="Times New Roman"/>
          <w:sz w:val="24"/>
          <w:szCs w:val="24"/>
        </w:rPr>
        <w:t>its and revenue. In addition, leasing</w:t>
      </w:r>
      <w:r w:rsidRPr="00563BCE">
        <w:rPr>
          <w:rFonts w:ascii="Times New Roman" w:hAnsi="Times New Roman" w:cs="Times New Roman"/>
          <w:sz w:val="24"/>
          <w:szCs w:val="24"/>
        </w:rPr>
        <w:t xml:space="preserve"> would attract fines from a court of law in case the hospital exempts</w:t>
      </w:r>
      <w:r w:rsidR="00563BCE" w:rsidRPr="00563BCE">
        <w:rPr>
          <w:rFonts w:ascii="Times New Roman" w:hAnsi="Times New Roman" w:cs="Times New Roman"/>
          <w:sz w:val="24"/>
          <w:szCs w:val="24"/>
        </w:rPr>
        <w:t xml:space="preserve"> from the payment of</w:t>
      </w:r>
      <w:r w:rsidRPr="00563BCE">
        <w:rPr>
          <w:rFonts w:ascii="Times New Roman" w:hAnsi="Times New Roman" w:cs="Times New Roman"/>
          <w:sz w:val="24"/>
          <w:szCs w:val="24"/>
        </w:rPr>
        <w:t xml:space="preserve"> taxes since the actions are no</w:t>
      </w:r>
      <w:r w:rsidR="00554582" w:rsidRPr="00563BCE">
        <w:rPr>
          <w:rFonts w:ascii="Times New Roman" w:hAnsi="Times New Roman" w:cs="Times New Roman"/>
          <w:sz w:val="24"/>
          <w:szCs w:val="24"/>
        </w:rPr>
        <w:t xml:space="preserve">t aimed at promoting healthcare or improving the conditions for patients. </w:t>
      </w:r>
    </w:p>
    <w:p w:rsidR="002D2516" w:rsidRDefault="002D2516" w:rsidP="00CC5E35">
      <w:pPr>
        <w:spacing w:line="480" w:lineRule="auto"/>
        <w:jc w:val="center"/>
        <w:rPr>
          <w:rFonts w:ascii="Times New Roman" w:hAnsi="Times New Roman" w:cs="Times New Roman"/>
          <w:sz w:val="24"/>
          <w:szCs w:val="24"/>
        </w:rPr>
      </w:pPr>
    </w:p>
    <w:p w:rsidR="00D1184D" w:rsidRPr="00563BCE" w:rsidRDefault="00D1184D" w:rsidP="00CC5E35">
      <w:pPr>
        <w:spacing w:line="480" w:lineRule="auto"/>
        <w:jc w:val="center"/>
        <w:rPr>
          <w:rFonts w:ascii="Times New Roman" w:hAnsi="Times New Roman" w:cs="Times New Roman"/>
          <w:sz w:val="24"/>
          <w:szCs w:val="24"/>
        </w:rPr>
      </w:pPr>
      <w:r w:rsidRPr="00563BCE">
        <w:rPr>
          <w:rFonts w:ascii="Times New Roman" w:hAnsi="Times New Roman" w:cs="Times New Roman"/>
          <w:sz w:val="24"/>
          <w:szCs w:val="24"/>
        </w:rPr>
        <w:lastRenderedPageBreak/>
        <w:t>References</w:t>
      </w:r>
    </w:p>
    <w:p w:rsidR="00CC5E35" w:rsidRPr="00563BCE" w:rsidRDefault="00CC5E35" w:rsidP="00CC5E35">
      <w:pPr>
        <w:spacing w:line="480" w:lineRule="auto"/>
        <w:ind w:left="720" w:hanging="720"/>
        <w:rPr>
          <w:rFonts w:ascii="Times New Roman" w:hAnsi="Times New Roman" w:cs="Times New Roman"/>
          <w:sz w:val="24"/>
          <w:szCs w:val="24"/>
        </w:rPr>
      </w:pPr>
      <w:r w:rsidRPr="00563BCE">
        <w:rPr>
          <w:rFonts w:ascii="Times New Roman" w:hAnsi="Times New Roman" w:cs="Times New Roman"/>
          <w:color w:val="222222"/>
          <w:sz w:val="24"/>
          <w:szCs w:val="24"/>
          <w:shd w:val="clear" w:color="auto" w:fill="FFFFFF"/>
        </w:rPr>
        <w:t>Grigsby, J. D. (2018). THE IMPACT OF TAX REFORM ON HOSPITALS AND HEALTH CARE SYSTEMS. </w:t>
      </w:r>
      <w:r w:rsidRPr="00563BCE">
        <w:rPr>
          <w:rFonts w:ascii="Times New Roman" w:hAnsi="Times New Roman" w:cs="Times New Roman"/>
          <w:i/>
          <w:iCs/>
          <w:color w:val="222222"/>
          <w:sz w:val="24"/>
          <w:szCs w:val="24"/>
          <w:shd w:val="clear" w:color="auto" w:fill="FFFFFF"/>
        </w:rPr>
        <w:t>Northeastern Association of Business, Economics and Technology</w:t>
      </w:r>
      <w:r w:rsidRPr="00563BCE">
        <w:rPr>
          <w:rFonts w:ascii="Times New Roman" w:hAnsi="Times New Roman" w:cs="Times New Roman"/>
          <w:color w:val="222222"/>
          <w:sz w:val="24"/>
          <w:szCs w:val="24"/>
          <w:shd w:val="clear" w:color="auto" w:fill="FFFFFF"/>
        </w:rPr>
        <w:t>, 138.</w:t>
      </w:r>
    </w:p>
    <w:p w:rsidR="00CC5E35" w:rsidRPr="00563BCE" w:rsidRDefault="00CC5E35" w:rsidP="00563BCE">
      <w:pPr>
        <w:spacing w:line="480" w:lineRule="auto"/>
        <w:ind w:left="720" w:hanging="720"/>
        <w:rPr>
          <w:rFonts w:ascii="Times New Roman" w:hAnsi="Times New Roman" w:cs="Times New Roman"/>
          <w:sz w:val="24"/>
          <w:szCs w:val="24"/>
          <w:shd w:val="clear" w:color="auto" w:fill="FFFFFF"/>
        </w:rPr>
      </w:pPr>
      <w:r w:rsidRPr="00563BCE">
        <w:rPr>
          <w:rFonts w:ascii="Times New Roman" w:hAnsi="Times New Roman" w:cs="Times New Roman"/>
          <w:sz w:val="24"/>
          <w:szCs w:val="24"/>
          <w:shd w:val="clear" w:color="auto" w:fill="FFFFFF"/>
        </w:rPr>
        <w:t>Showalter, J. S. (2012). </w:t>
      </w:r>
      <w:r w:rsidRPr="00563BCE">
        <w:rPr>
          <w:rFonts w:ascii="Times New Roman" w:hAnsi="Times New Roman" w:cs="Times New Roman"/>
          <w:i/>
          <w:iCs/>
          <w:sz w:val="24"/>
          <w:szCs w:val="24"/>
          <w:shd w:val="clear" w:color="auto" w:fill="FFFFFF"/>
        </w:rPr>
        <w:t>The law of healthcare administration</w:t>
      </w:r>
      <w:r w:rsidRPr="00563BCE">
        <w:rPr>
          <w:rFonts w:ascii="Times New Roman" w:hAnsi="Times New Roman" w:cs="Times New Roman"/>
          <w:sz w:val="24"/>
          <w:szCs w:val="24"/>
          <w:shd w:val="clear" w:color="auto" w:fill="FFFFFF"/>
        </w:rPr>
        <w:t>. (7</w:t>
      </w:r>
      <w:r w:rsidRPr="00563BCE">
        <w:rPr>
          <w:rFonts w:ascii="Times New Roman" w:hAnsi="Times New Roman" w:cs="Times New Roman"/>
          <w:sz w:val="24"/>
          <w:szCs w:val="24"/>
          <w:shd w:val="clear" w:color="auto" w:fill="FFFFFF"/>
          <w:vertAlign w:val="superscript"/>
        </w:rPr>
        <w:t>th</w:t>
      </w:r>
      <w:r w:rsidRPr="00563BCE">
        <w:rPr>
          <w:rFonts w:ascii="Times New Roman" w:hAnsi="Times New Roman" w:cs="Times New Roman"/>
          <w:sz w:val="24"/>
          <w:szCs w:val="24"/>
          <w:shd w:val="clear" w:color="auto" w:fill="FFFFFF"/>
        </w:rPr>
        <w:t>ed.). Chicago, IL: Health Administration Press.ISBN: 978-1</w:t>
      </w:r>
      <w:bookmarkStart w:id="0" w:name="_GoBack"/>
      <w:bookmarkEnd w:id="0"/>
      <w:r w:rsidRPr="00563BCE">
        <w:rPr>
          <w:rFonts w:ascii="Times New Roman" w:hAnsi="Times New Roman" w:cs="Times New Roman"/>
          <w:sz w:val="24"/>
          <w:szCs w:val="24"/>
          <w:shd w:val="clear" w:color="auto" w:fill="FFFFFF"/>
        </w:rPr>
        <w:t>-56793-644-5.</w:t>
      </w:r>
    </w:p>
    <w:p w:rsidR="00CC5E35" w:rsidRPr="00CC5E35" w:rsidRDefault="00CC5E35" w:rsidP="00CC5E35">
      <w:pPr>
        <w:spacing w:line="480" w:lineRule="auto"/>
        <w:ind w:left="720" w:hanging="720"/>
        <w:rPr>
          <w:rFonts w:ascii="Times New Roman" w:hAnsi="Times New Roman" w:cs="Times New Roman"/>
          <w:sz w:val="24"/>
          <w:szCs w:val="24"/>
          <w:shd w:val="clear" w:color="auto" w:fill="FFFFFF"/>
        </w:rPr>
      </w:pPr>
      <w:r w:rsidRPr="00563BCE">
        <w:rPr>
          <w:rFonts w:ascii="Times New Roman" w:hAnsi="Times New Roman" w:cs="Times New Roman"/>
          <w:color w:val="222222"/>
          <w:sz w:val="24"/>
          <w:szCs w:val="24"/>
          <w:shd w:val="clear" w:color="auto" w:fill="FFFFFF"/>
        </w:rPr>
        <w:t>Wiist, W. H. (2018). Public Health and Corporate Avoidance of US Federal Income Tax. </w:t>
      </w:r>
      <w:r w:rsidRPr="00563BCE">
        <w:rPr>
          <w:rFonts w:ascii="Times New Roman" w:hAnsi="Times New Roman" w:cs="Times New Roman"/>
          <w:i/>
          <w:iCs/>
          <w:color w:val="222222"/>
          <w:sz w:val="24"/>
          <w:szCs w:val="24"/>
          <w:shd w:val="clear" w:color="auto" w:fill="FFFFFF"/>
        </w:rPr>
        <w:t>World Medical &amp; Health Policy</w:t>
      </w:r>
      <w:r w:rsidRPr="00563BCE">
        <w:rPr>
          <w:rFonts w:ascii="Times New Roman" w:hAnsi="Times New Roman" w:cs="Times New Roman"/>
          <w:color w:val="222222"/>
          <w:sz w:val="24"/>
          <w:szCs w:val="24"/>
          <w:shd w:val="clear" w:color="auto" w:fill="FFFFFF"/>
        </w:rPr>
        <w:t>, </w:t>
      </w:r>
      <w:r w:rsidRPr="00563BCE">
        <w:rPr>
          <w:rFonts w:ascii="Times New Roman" w:hAnsi="Times New Roman" w:cs="Times New Roman"/>
          <w:i/>
          <w:iCs/>
          <w:color w:val="222222"/>
          <w:sz w:val="24"/>
          <w:szCs w:val="24"/>
          <w:shd w:val="clear" w:color="auto" w:fill="FFFFFF"/>
        </w:rPr>
        <w:t>10</w:t>
      </w:r>
      <w:r w:rsidRPr="00563BCE">
        <w:rPr>
          <w:rFonts w:ascii="Times New Roman" w:hAnsi="Times New Roman" w:cs="Times New Roman"/>
          <w:color w:val="222222"/>
          <w:sz w:val="24"/>
          <w:szCs w:val="24"/>
          <w:shd w:val="clear" w:color="auto" w:fill="FFFFFF"/>
        </w:rPr>
        <w:t>(3), 272-300.</w:t>
      </w:r>
    </w:p>
    <w:sectPr w:rsidR="00CC5E35" w:rsidRPr="00CC5E35" w:rsidSect="00563BC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17D" w:rsidRDefault="00A6117D" w:rsidP="00563BCE">
      <w:pPr>
        <w:spacing w:after="0" w:line="240" w:lineRule="auto"/>
      </w:pPr>
      <w:r>
        <w:separator/>
      </w:r>
    </w:p>
  </w:endnote>
  <w:endnote w:type="continuationSeparator" w:id="1">
    <w:p w:rsidR="00A6117D" w:rsidRDefault="00A6117D" w:rsidP="00563B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17D" w:rsidRDefault="00A6117D" w:rsidP="00563BCE">
      <w:pPr>
        <w:spacing w:after="0" w:line="240" w:lineRule="auto"/>
      </w:pPr>
      <w:r>
        <w:separator/>
      </w:r>
    </w:p>
  </w:footnote>
  <w:footnote w:type="continuationSeparator" w:id="1">
    <w:p w:rsidR="00A6117D" w:rsidRDefault="00A6117D" w:rsidP="00563B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4392616"/>
      <w:docPartObj>
        <w:docPartGallery w:val="Page Numbers (Top of Page)"/>
        <w:docPartUnique/>
      </w:docPartObj>
    </w:sdtPr>
    <w:sdtEndPr>
      <w:rPr>
        <w:noProof/>
      </w:rPr>
    </w:sdtEndPr>
    <w:sdtContent>
      <w:p w:rsidR="00563BCE" w:rsidRPr="00563BCE" w:rsidRDefault="00563BCE" w:rsidP="00563BCE">
        <w:pPr>
          <w:pStyle w:val="Header"/>
          <w:spacing w:line="480" w:lineRule="auto"/>
          <w:rPr>
            <w:rFonts w:ascii="Times New Roman" w:hAnsi="Times New Roman" w:cs="Times New Roman"/>
            <w:sz w:val="24"/>
            <w:szCs w:val="24"/>
          </w:rPr>
        </w:pPr>
        <w:r w:rsidRPr="00563BCE">
          <w:rPr>
            <w:rFonts w:ascii="Times New Roman" w:hAnsi="Times New Roman" w:cs="Times New Roman"/>
            <w:sz w:val="24"/>
            <w:szCs w:val="24"/>
          </w:rPr>
          <w:t>HEALTHCARE AND FEDERAL LAWS</w:t>
        </w:r>
        <w:r w:rsidR="002D2516">
          <w:rPr>
            <w:rFonts w:ascii="Times New Roman" w:hAnsi="Times New Roman" w:cs="Times New Roman"/>
            <w:sz w:val="24"/>
            <w:szCs w:val="24"/>
          </w:rPr>
          <w:t xml:space="preserve">                                                                                </w:t>
        </w:r>
        <w:r w:rsidR="00062339" w:rsidRPr="00563BCE">
          <w:rPr>
            <w:rFonts w:ascii="Times New Roman" w:hAnsi="Times New Roman" w:cs="Times New Roman"/>
            <w:sz w:val="24"/>
            <w:szCs w:val="24"/>
          </w:rPr>
          <w:fldChar w:fldCharType="begin"/>
        </w:r>
        <w:r w:rsidRPr="00563BCE">
          <w:rPr>
            <w:rFonts w:ascii="Times New Roman" w:hAnsi="Times New Roman" w:cs="Times New Roman"/>
            <w:sz w:val="24"/>
            <w:szCs w:val="24"/>
          </w:rPr>
          <w:instrText xml:space="preserve"> PAGE   \* MERGEFORMAT </w:instrText>
        </w:r>
        <w:r w:rsidR="00062339" w:rsidRPr="00563BCE">
          <w:rPr>
            <w:rFonts w:ascii="Times New Roman" w:hAnsi="Times New Roman" w:cs="Times New Roman"/>
            <w:sz w:val="24"/>
            <w:szCs w:val="24"/>
          </w:rPr>
          <w:fldChar w:fldCharType="separate"/>
        </w:r>
        <w:r w:rsidR="002D2516">
          <w:rPr>
            <w:rFonts w:ascii="Times New Roman" w:hAnsi="Times New Roman" w:cs="Times New Roman"/>
            <w:noProof/>
            <w:sz w:val="24"/>
            <w:szCs w:val="24"/>
          </w:rPr>
          <w:t>2</w:t>
        </w:r>
        <w:r w:rsidR="00062339" w:rsidRPr="00563BC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BCE" w:rsidRPr="00563BCE" w:rsidRDefault="00563BCE" w:rsidP="00563BCE">
    <w:pPr>
      <w:pStyle w:val="Header"/>
      <w:spacing w:line="480" w:lineRule="auto"/>
      <w:rPr>
        <w:rFonts w:ascii="Times New Roman" w:hAnsi="Times New Roman" w:cs="Times New Roman"/>
        <w:sz w:val="24"/>
        <w:szCs w:val="24"/>
      </w:rPr>
    </w:pPr>
    <w:r w:rsidRPr="00563BCE">
      <w:rPr>
        <w:rFonts w:ascii="Times New Roman" w:hAnsi="Times New Roman" w:cs="Times New Roman"/>
        <w:sz w:val="24"/>
        <w:szCs w:val="24"/>
      </w:rPr>
      <w:t>Running head: HEALTHCARE AND FEDERAL LAWS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48F3"/>
    <w:rsid w:val="00062339"/>
    <w:rsid w:val="00065DD2"/>
    <w:rsid w:val="0007549C"/>
    <w:rsid w:val="00083046"/>
    <w:rsid w:val="000A0C2C"/>
    <w:rsid w:val="000B5411"/>
    <w:rsid w:val="000C5594"/>
    <w:rsid w:val="00124338"/>
    <w:rsid w:val="00196BA6"/>
    <w:rsid w:val="001A37E1"/>
    <w:rsid w:val="00221696"/>
    <w:rsid w:val="002D2516"/>
    <w:rsid w:val="002F15F3"/>
    <w:rsid w:val="00327A46"/>
    <w:rsid w:val="0034524D"/>
    <w:rsid w:val="00354825"/>
    <w:rsid w:val="00394847"/>
    <w:rsid w:val="003D7F34"/>
    <w:rsid w:val="004A6102"/>
    <w:rsid w:val="00554582"/>
    <w:rsid w:val="00563BCE"/>
    <w:rsid w:val="005E72F9"/>
    <w:rsid w:val="0060034D"/>
    <w:rsid w:val="006051B0"/>
    <w:rsid w:val="006330D8"/>
    <w:rsid w:val="006B173A"/>
    <w:rsid w:val="006F2BAA"/>
    <w:rsid w:val="00864B80"/>
    <w:rsid w:val="009243EA"/>
    <w:rsid w:val="009345D7"/>
    <w:rsid w:val="00A5240C"/>
    <w:rsid w:val="00A6117D"/>
    <w:rsid w:val="00A75C1D"/>
    <w:rsid w:val="00A84CD1"/>
    <w:rsid w:val="00A9519A"/>
    <w:rsid w:val="00AE401E"/>
    <w:rsid w:val="00AE5880"/>
    <w:rsid w:val="00AF5C71"/>
    <w:rsid w:val="00B30ADB"/>
    <w:rsid w:val="00B62C9D"/>
    <w:rsid w:val="00B848F3"/>
    <w:rsid w:val="00BA71D4"/>
    <w:rsid w:val="00BC76C5"/>
    <w:rsid w:val="00CC5E35"/>
    <w:rsid w:val="00CD79EA"/>
    <w:rsid w:val="00CF7F29"/>
    <w:rsid w:val="00D060D1"/>
    <w:rsid w:val="00D1184D"/>
    <w:rsid w:val="00D11E6D"/>
    <w:rsid w:val="00D44808"/>
    <w:rsid w:val="00D57509"/>
    <w:rsid w:val="00D625D9"/>
    <w:rsid w:val="00E2134E"/>
    <w:rsid w:val="00E61C40"/>
    <w:rsid w:val="00F321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3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BCE"/>
  </w:style>
  <w:style w:type="paragraph" w:styleId="Footer">
    <w:name w:val="footer"/>
    <w:basedOn w:val="Normal"/>
    <w:link w:val="FooterChar"/>
    <w:uiPriority w:val="99"/>
    <w:unhideWhenUsed/>
    <w:rsid w:val="00563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B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2019-07-30T18:56:00Z</dcterms:created>
  <dcterms:modified xsi:type="dcterms:W3CDTF">2019-07-30T18:56:00Z</dcterms:modified>
</cp:coreProperties>
</file>